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HISTORIA Y GEOGRAFÍA                                     P.C.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6°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Comparar sobre la situación y postura de otros actores sociales en el período de Independencia de Chile como Carreristas y O higienistas..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Comparar sobre la situación y postura de otros actores sociales en el período de Independencia de Chile como Carreristas y O higienistas..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ubicarse temporalmente en relación con los contenidos del nivel y espacialmente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Respetar y defender la igualdad de derechos entre hombres y mujeres y apreciar la importancia de desarrollar relaciones que potencien su participación equitativa en la vida económica, familiar, social y cultural.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Colonias, cabildo, junta, independencia, hermanos Carrera, Bernardo O'Higgins, Manuel Rodríguez, república, monarquía,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Independencia de Chile y América..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 el período de independencia de Chile.</w:t>
            </w:r>
          </w:p>
          <w:p w:rsidR="00000000" w:rsidDel="00000000" w:rsidP="00000000" w:rsidRDefault="00000000" w:rsidRPr="00000000" w14:paraId="00000018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Video:.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https://www.youtube.com/watch?v=jqCF_j_Pv3M&amp;t=1s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Comentar brevemente los períodos de la independencia de Chile.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Ver y analizar el video las incipientes corrientes de opinión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Apoyo en el texto páginas 68 y 69, respondiendo preguntas en el cuaderno.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Completar el cuadro con ambas corrientes de opinión.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Ticket de salida: </w:t>
            </w:r>
          </w:p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Compara según el video la visión de estas dos corrientes de opinión en el proceso de Independencia de Chile. </w:t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8403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2801"/>
              <w:gridCol w:w="2801"/>
              <w:gridCol w:w="2801"/>
              <w:tblGridChange w:id="0">
                <w:tblGrid>
                  <w:gridCol w:w="2801"/>
                  <w:gridCol w:w="2801"/>
                  <w:gridCol w:w="2801"/>
                </w:tblGrid>
              </w:tblGridChange>
            </w:tblGrid>
            <w:tr>
              <w:tc>
                <w:tcPr/>
                <w:p w:rsidR="00000000" w:rsidDel="00000000" w:rsidP="00000000" w:rsidRDefault="00000000" w:rsidRPr="00000000" w14:paraId="00000026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COMPARACIÓN</w:t>
                  </w:r>
                </w:p>
              </w:tc>
              <w:tc>
                <w:tcPr/>
                <w:p w:rsidR="00000000" w:rsidDel="00000000" w:rsidP="00000000" w:rsidRDefault="00000000" w:rsidRPr="00000000" w14:paraId="00000027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CARRERISTAS</w:t>
                  </w:r>
                </w:p>
              </w:tc>
              <w:tc>
                <w:tcPr/>
                <w:p w:rsidR="00000000" w:rsidDel="00000000" w:rsidP="00000000" w:rsidRDefault="00000000" w:rsidRPr="00000000" w14:paraId="00000028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sz w:val="24"/>
                      <w:szCs w:val="24"/>
                      <w:rtl w:val="0"/>
                    </w:rPr>
                    <w:t xml:space="preserve">O’HIGGINISTAS</w:t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9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A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B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C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D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2E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2F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0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1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/>
                <w:p w:rsidR="00000000" w:rsidDel="00000000" w:rsidP="00000000" w:rsidRDefault="00000000" w:rsidRPr="00000000" w14:paraId="00000032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3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34">
                  <w:pPr>
                    <w:rPr>
                      <w:rFonts w:ascii="Arial" w:cs="Arial" w:eastAsia="Arial" w:hAnsi="Arial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jqCF_j_Pv3M&amp;t=1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H3GXMCgZE+SefZsImoENMIDDtg==">AMUW2mXkhl7CxycS5I0xOdoAroHfo/ulOX2DHKUfDwCv4YlwVjhZYZJGC/9U2rxoPWYSbi7FeoDBnYsGDBfdvl2tICNYDqNCcx7FsFmVdoevxLvkdg06z+9k2drbDgyUJT5bhFvIVhMW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2020-07-15T01:24:00Z</dcterms:created>
  <dc:creator>Enlaces</dc:creator>
</cp:coreProperties>
</file>